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94F5" w14:textId="77777777" w:rsidR="00156CB0" w:rsidRDefault="00156CB0" w:rsidP="00727F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07D81C9" w14:textId="1D69D1DF" w:rsidR="00727F56" w:rsidRPr="00727F56" w:rsidRDefault="00727F56" w:rsidP="00727F56">
      <w:pPr>
        <w:rPr>
          <w:b/>
          <w:bCs/>
          <w:sz w:val="28"/>
          <w:szCs w:val="28"/>
        </w:rPr>
      </w:pPr>
      <w:r w:rsidRPr="00727F56">
        <w:rPr>
          <w:b/>
          <w:bCs/>
          <w:sz w:val="28"/>
          <w:szCs w:val="28"/>
        </w:rPr>
        <w:t xml:space="preserve">Afghanistan – update </w:t>
      </w:r>
      <w:r w:rsidR="00390347">
        <w:rPr>
          <w:b/>
          <w:bCs/>
          <w:sz w:val="28"/>
          <w:szCs w:val="28"/>
        </w:rPr>
        <w:t>12</w:t>
      </w:r>
      <w:r w:rsidR="00390347" w:rsidRPr="00390347">
        <w:rPr>
          <w:b/>
          <w:bCs/>
          <w:sz w:val="28"/>
          <w:szCs w:val="28"/>
          <w:vertAlign w:val="superscript"/>
        </w:rPr>
        <w:t>th</w:t>
      </w:r>
      <w:r w:rsidR="00390347">
        <w:rPr>
          <w:b/>
          <w:bCs/>
          <w:sz w:val="28"/>
          <w:szCs w:val="28"/>
        </w:rPr>
        <w:t xml:space="preserve"> October</w:t>
      </w:r>
      <w:r w:rsidR="008E120C">
        <w:rPr>
          <w:b/>
          <w:bCs/>
          <w:sz w:val="28"/>
          <w:szCs w:val="28"/>
        </w:rPr>
        <w:t xml:space="preserve"> (following call with Afghanistan International Bank</w:t>
      </w:r>
      <w:r w:rsidR="007C212E">
        <w:rPr>
          <w:b/>
          <w:bCs/>
          <w:sz w:val="28"/>
          <w:szCs w:val="28"/>
        </w:rPr>
        <w:t xml:space="preserve"> CEO</w:t>
      </w:r>
      <w:r w:rsidR="008E120C">
        <w:rPr>
          <w:b/>
          <w:bCs/>
          <w:sz w:val="28"/>
          <w:szCs w:val="28"/>
        </w:rPr>
        <w:t>)</w:t>
      </w:r>
    </w:p>
    <w:p w14:paraId="1CB3030E" w14:textId="77777777" w:rsidR="00727F56" w:rsidRPr="0067726F" w:rsidRDefault="00727F56" w:rsidP="00464865">
      <w:pPr>
        <w:jc w:val="both"/>
      </w:pPr>
    </w:p>
    <w:p w14:paraId="284CE847" w14:textId="62E412B8" w:rsidR="00B9044B" w:rsidRDefault="001C202C" w:rsidP="00464865">
      <w:pPr>
        <w:jc w:val="both"/>
        <w:rPr>
          <w:lang w:eastAsia="en-US"/>
        </w:rPr>
      </w:pPr>
      <w:r>
        <w:rPr>
          <w:lang w:eastAsia="en-US"/>
        </w:rPr>
        <w:t>T</w:t>
      </w:r>
      <w:r w:rsidR="00B9044B">
        <w:rPr>
          <w:lang w:eastAsia="en-US"/>
        </w:rPr>
        <w:t>he g</w:t>
      </w:r>
      <w:r w:rsidR="00727F56" w:rsidRPr="0067726F">
        <w:rPr>
          <w:lang w:eastAsia="en-US"/>
        </w:rPr>
        <w:t xml:space="preserve">eneral feeling </w:t>
      </w:r>
      <w:r>
        <w:rPr>
          <w:lang w:eastAsia="en-US"/>
        </w:rPr>
        <w:t>remains</w:t>
      </w:r>
      <w:r w:rsidR="00727F56" w:rsidRPr="0067726F">
        <w:rPr>
          <w:lang w:eastAsia="en-US"/>
        </w:rPr>
        <w:t xml:space="preserve"> </w:t>
      </w:r>
      <w:r w:rsidR="008E120C" w:rsidRPr="0067726F">
        <w:rPr>
          <w:lang w:eastAsia="en-US"/>
        </w:rPr>
        <w:t xml:space="preserve">that </w:t>
      </w:r>
      <w:r w:rsidR="00B9044B">
        <w:rPr>
          <w:lang w:eastAsia="en-US"/>
        </w:rPr>
        <w:t>things are moving</w:t>
      </w:r>
      <w:r w:rsidR="00727F56" w:rsidRPr="0067726F">
        <w:rPr>
          <w:lang w:eastAsia="en-US"/>
        </w:rPr>
        <w:t xml:space="preserve"> in the right direction. </w:t>
      </w:r>
      <w:r w:rsidR="007C212E">
        <w:rPr>
          <w:lang w:eastAsia="en-US"/>
        </w:rPr>
        <w:t>Comments today from the CEO included:</w:t>
      </w:r>
    </w:p>
    <w:p w14:paraId="1D00DEF4" w14:textId="508128A8" w:rsidR="007C212E" w:rsidRDefault="00FB7B86" w:rsidP="007C212E">
      <w:pPr>
        <w:pStyle w:val="ListParagraph"/>
        <w:numPr>
          <w:ilvl w:val="0"/>
          <w:numId w:val="3"/>
        </w:numPr>
        <w:jc w:val="both"/>
      </w:pPr>
      <w:r>
        <w:t>The Taliban / US meetings had gone well – the Taliban’s ‘shopping list’</w:t>
      </w:r>
      <w:r w:rsidR="00826E05">
        <w:t xml:space="preserve"> was not fully agreed, unsurprisingly, </w:t>
      </w:r>
      <w:r w:rsidR="00CE1043">
        <w:t>but there does seem to be some conditional acceptance of the new regime</w:t>
      </w:r>
      <w:r w:rsidR="00736938">
        <w:t>.</w:t>
      </w:r>
    </w:p>
    <w:p w14:paraId="6EF9DAF1" w14:textId="2F9681F9" w:rsidR="00CE1043" w:rsidRDefault="00406EFE" w:rsidP="007C212E">
      <w:pPr>
        <w:pStyle w:val="ListParagraph"/>
        <w:numPr>
          <w:ilvl w:val="0"/>
          <w:numId w:val="3"/>
        </w:numPr>
        <w:jc w:val="both"/>
      </w:pPr>
      <w:r>
        <w:t>Positive</w:t>
      </w:r>
      <w:r w:rsidR="00380829">
        <w:t xml:space="preserve"> news</w:t>
      </w:r>
      <w:r>
        <w:t xml:space="preserve"> also that licenses were given to allow </w:t>
      </w:r>
      <w:r w:rsidR="00364BF6">
        <w:t>the</w:t>
      </w:r>
      <w:r w:rsidR="00145533">
        <w:t xml:space="preserve"> </w:t>
      </w:r>
      <w:r>
        <w:t>Taliban to travel</w:t>
      </w:r>
      <w:r w:rsidR="00E05546">
        <w:t xml:space="preserve"> to formal talks.</w:t>
      </w:r>
    </w:p>
    <w:p w14:paraId="7765E0C7" w14:textId="06018655" w:rsidR="00406EFE" w:rsidRDefault="00F30739" w:rsidP="007C212E">
      <w:pPr>
        <w:pStyle w:val="ListParagraph"/>
        <w:numPr>
          <w:ilvl w:val="0"/>
          <w:numId w:val="3"/>
        </w:numPr>
        <w:jc w:val="both"/>
      </w:pPr>
      <w:r>
        <w:t>AIB’s relationships with the Central Bank (DAB) are better now than before the regime change</w:t>
      </w:r>
      <w:r w:rsidR="004D045B">
        <w:t xml:space="preserve"> – a new Governor has been appointed, also two Deputies and in </w:t>
      </w:r>
      <w:r w:rsidR="00341AAC">
        <w:t xml:space="preserve">5-6 meetings, the new Regulatory team has shown a willingness to listen to the banks and, as a result, </w:t>
      </w:r>
      <w:r w:rsidR="00DB2FBD">
        <w:t>things are more efficient than before</w:t>
      </w:r>
      <w:r w:rsidR="00736938">
        <w:t>.</w:t>
      </w:r>
    </w:p>
    <w:p w14:paraId="48E3BDE3" w14:textId="038B216E" w:rsidR="00145533" w:rsidRDefault="00434C11" w:rsidP="007C212E">
      <w:pPr>
        <w:pStyle w:val="ListParagraph"/>
        <w:numPr>
          <w:ilvl w:val="0"/>
          <w:numId w:val="3"/>
        </w:numPr>
        <w:jc w:val="both"/>
      </w:pPr>
      <w:r>
        <w:t>An example is the gradual release of international payments by DAB</w:t>
      </w:r>
      <w:r w:rsidR="0051769F">
        <w:t xml:space="preserve">, </w:t>
      </w:r>
      <w:r w:rsidR="00AE3AD6">
        <w:t>for the private sector to support humanitarian aid</w:t>
      </w:r>
      <w:r w:rsidR="004E4C3E">
        <w:t xml:space="preserve"> with key importation of g</w:t>
      </w:r>
      <w:r w:rsidR="00BE7403">
        <w:t xml:space="preserve">oods and services </w:t>
      </w:r>
      <w:r w:rsidR="00F97C2B">
        <w:t>in line with OFAC general licenses 14 and 15</w:t>
      </w:r>
      <w:r w:rsidR="00736938">
        <w:t>.</w:t>
      </w:r>
    </w:p>
    <w:p w14:paraId="6A7AC5AD" w14:textId="583CE718" w:rsidR="005D11E8" w:rsidRDefault="005D11E8" w:rsidP="00457EE6">
      <w:pPr>
        <w:jc w:val="both"/>
      </w:pPr>
    </w:p>
    <w:p w14:paraId="23D3EFE0" w14:textId="77777777" w:rsidR="00380829" w:rsidRDefault="001C202C" w:rsidP="00457EE6">
      <w:pPr>
        <w:jc w:val="both"/>
      </w:pPr>
      <w:r>
        <w:t xml:space="preserve">Still awaiting formal </w:t>
      </w:r>
      <w:r w:rsidR="00B3479C">
        <w:t>positions of the EU and OFSI (UK)</w:t>
      </w:r>
      <w:r w:rsidR="004B75B4">
        <w:t xml:space="preserve"> as regards any conditional acceptance of the new regime </w:t>
      </w:r>
      <w:r w:rsidR="00F36BE1">
        <w:t xml:space="preserve">and the </w:t>
      </w:r>
      <w:r w:rsidR="001D5AAD">
        <w:t>regulatory stances</w:t>
      </w:r>
      <w:r w:rsidR="00F36BE1">
        <w:t xml:space="preserve"> as regards </w:t>
      </w:r>
      <w:r w:rsidR="004B75B4">
        <w:t>sanctions</w:t>
      </w:r>
      <w:r w:rsidR="00F36BE1">
        <w:t xml:space="preserve"> and </w:t>
      </w:r>
      <w:r w:rsidR="00D864EC">
        <w:t>support</w:t>
      </w:r>
      <w:r w:rsidR="00F36BE1">
        <w:t xml:space="preserve"> for humanitarian and / or life saving</w:t>
      </w:r>
      <w:r w:rsidR="00D864EC">
        <w:t xml:space="preserve"> activities. </w:t>
      </w:r>
      <w:r w:rsidR="001D0004">
        <w:t xml:space="preserve"> </w:t>
      </w:r>
      <w:r w:rsidR="00A1537B">
        <w:t xml:space="preserve">There remains a reluctance of many </w:t>
      </w:r>
      <w:r w:rsidR="00243B18">
        <w:t xml:space="preserve">international </w:t>
      </w:r>
      <w:r w:rsidR="00A1537B">
        <w:t>banks</w:t>
      </w:r>
      <w:r w:rsidR="00243B18">
        <w:t xml:space="preserve"> to take on any Afghanistan risk, partly </w:t>
      </w:r>
      <w:proofErr w:type="gramStart"/>
      <w:r w:rsidR="00243B18">
        <w:t>as a result of</w:t>
      </w:r>
      <w:proofErr w:type="gramEnd"/>
      <w:r w:rsidR="00243B18">
        <w:t xml:space="preserve"> </w:t>
      </w:r>
      <w:r w:rsidR="00F56581">
        <w:t>the limited regulatory guidance</w:t>
      </w:r>
      <w:r w:rsidR="001D5AAD">
        <w:t xml:space="preserve"> currently in place</w:t>
      </w:r>
      <w:r w:rsidR="00EE594F">
        <w:t>.  This applies not just to EU or UK banks, but also to many banks in the US.</w:t>
      </w:r>
      <w:r w:rsidR="00743BD4">
        <w:t xml:space="preserve">  </w:t>
      </w:r>
    </w:p>
    <w:p w14:paraId="0AA4A0AF" w14:textId="3C04EBB9" w:rsidR="001D5AAD" w:rsidRDefault="00743BD4" w:rsidP="00457EE6">
      <w:pPr>
        <w:jc w:val="both"/>
      </w:pPr>
      <w:r>
        <w:t xml:space="preserve">Payments can be made from AIB to other Afghan banks, apart from those which are government owned </w:t>
      </w:r>
      <w:proofErr w:type="gramStart"/>
      <w:r>
        <w:t>i.e.</w:t>
      </w:r>
      <w:proofErr w:type="gramEnd"/>
      <w:r>
        <w:t xml:space="preserve"> Bank Millie Afghan, </w:t>
      </w:r>
      <w:proofErr w:type="spellStart"/>
      <w:r>
        <w:t>Pashtany</w:t>
      </w:r>
      <w:proofErr w:type="spellEnd"/>
      <w:r>
        <w:t xml:space="preserve"> Bank and New Kabul Bank.</w:t>
      </w:r>
    </w:p>
    <w:p w14:paraId="02BD14AD" w14:textId="77777777" w:rsidR="001D5AAD" w:rsidRDefault="001D5AAD" w:rsidP="00457EE6">
      <w:pPr>
        <w:jc w:val="both"/>
      </w:pPr>
    </w:p>
    <w:p w14:paraId="67D5C3B0" w14:textId="77777777" w:rsidR="00736938" w:rsidRDefault="001D5AAD" w:rsidP="00835122">
      <w:pPr>
        <w:jc w:val="both"/>
        <w:rPr>
          <w:lang w:eastAsia="en-US"/>
        </w:rPr>
      </w:pPr>
      <w:r>
        <w:t>AIB</w:t>
      </w:r>
      <w:r w:rsidR="00CF78FF">
        <w:t xml:space="preserve"> remains solid and its balance sheet has not diminished in any way. </w:t>
      </w:r>
      <w:r w:rsidR="00A532F5">
        <w:t xml:space="preserve">A </w:t>
      </w:r>
      <w:r w:rsidR="00EE594F">
        <w:t>remi</w:t>
      </w:r>
      <w:r w:rsidR="00A532F5">
        <w:t>nder that DAB changed the withdrawal limits on 15</w:t>
      </w:r>
      <w:r w:rsidR="00A532F5" w:rsidRPr="00A532F5">
        <w:rPr>
          <w:vertAlign w:val="superscript"/>
        </w:rPr>
        <w:t>th</w:t>
      </w:r>
      <w:r w:rsidR="00A532F5">
        <w:t xml:space="preserve"> September and </w:t>
      </w:r>
      <w:r w:rsidR="00727F56" w:rsidRPr="0067726F">
        <w:rPr>
          <w:lang w:eastAsia="en-US"/>
        </w:rPr>
        <w:t xml:space="preserve">customers </w:t>
      </w:r>
      <w:r w:rsidR="00A532F5">
        <w:rPr>
          <w:lang w:eastAsia="en-US"/>
        </w:rPr>
        <w:t>are allowed to</w:t>
      </w:r>
      <w:r w:rsidR="00727F56" w:rsidRPr="0067726F">
        <w:rPr>
          <w:lang w:eastAsia="en-US"/>
        </w:rPr>
        <w:t xml:space="preserve"> withdraw 5% of their total balance per mont</w:t>
      </w:r>
      <w:r w:rsidR="008E120C" w:rsidRPr="0067726F">
        <w:rPr>
          <w:lang w:eastAsia="en-US"/>
        </w:rPr>
        <w:t>h,</w:t>
      </w:r>
      <w:r w:rsidR="00727F56" w:rsidRPr="0067726F">
        <w:rPr>
          <w:lang w:eastAsia="en-US"/>
        </w:rPr>
        <w:t xml:space="preserve"> or up to USD25k, whichever is lower.</w:t>
      </w:r>
      <w:r w:rsidR="00835122">
        <w:rPr>
          <w:lang w:eastAsia="en-US"/>
        </w:rPr>
        <w:t xml:space="preserve"> </w:t>
      </w:r>
    </w:p>
    <w:p w14:paraId="66808F18" w14:textId="69A486D7" w:rsidR="003D2786" w:rsidRDefault="00835122" w:rsidP="00835122">
      <w:pPr>
        <w:jc w:val="both"/>
        <w:rPr>
          <w:lang w:eastAsia="en-US"/>
        </w:rPr>
      </w:pPr>
      <w:r>
        <w:rPr>
          <w:lang w:eastAsia="en-US"/>
        </w:rPr>
        <w:t>F</w:t>
      </w:r>
      <w:r w:rsidR="00727F56" w:rsidRPr="0067726F">
        <w:rPr>
          <w:lang w:eastAsia="en-US"/>
        </w:rPr>
        <w:t xml:space="preserve">ull withdrawals are allowed for </w:t>
      </w:r>
      <w:proofErr w:type="gramStart"/>
      <w:r w:rsidR="00727F56" w:rsidRPr="0067726F">
        <w:rPr>
          <w:lang w:eastAsia="en-US"/>
        </w:rPr>
        <w:t>fresh</w:t>
      </w:r>
      <w:proofErr w:type="gramEnd"/>
      <w:r w:rsidR="00727F56" w:rsidRPr="0067726F">
        <w:rPr>
          <w:lang w:eastAsia="en-US"/>
        </w:rPr>
        <w:t xml:space="preserve"> or</w:t>
      </w:r>
      <w:r>
        <w:rPr>
          <w:lang w:eastAsia="en-US"/>
        </w:rPr>
        <w:t xml:space="preserve"> funds deposited after 15</w:t>
      </w:r>
      <w:r w:rsidRPr="00835122">
        <w:rPr>
          <w:vertAlign w:val="superscript"/>
          <w:lang w:eastAsia="en-US"/>
        </w:rPr>
        <w:t>th</w:t>
      </w:r>
      <w:r>
        <w:rPr>
          <w:lang w:eastAsia="en-US"/>
        </w:rPr>
        <w:t xml:space="preserve"> September</w:t>
      </w:r>
      <w:r w:rsidR="00736938">
        <w:rPr>
          <w:lang w:eastAsia="en-US"/>
        </w:rPr>
        <w:t>.</w:t>
      </w:r>
    </w:p>
    <w:p w14:paraId="7B92B6AE" w14:textId="77777777" w:rsidR="003D2786" w:rsidRDefault="003D2786" w:rsidP="00835122">
      <w:pPr>
        <w:jc w:val="both"/>
        <w:rPr>
          <w:lang w:eastAsia="en-US"/>
        </w:rPr>
      </w:pPr>
    </w:p>
    <w:p w14:paraId="41A3BD1A" w14:textId="1774BE1D" w:rsidR="00BD31C5" w:rsidRDefault="008E120C" w:rsidP="003D2786">
      <w:pPr>
        <w:jc w:val="both"/>
        <w:rPr>
          <w:rFonts w:ascii="Calibri" w:hAnsi="Calibri" w:cs="Calibri"/>
        </w:rPr>
      </w:pPr>
      <w:r w:rsidRPr="0067726F">
        <w:rPr>
          <w:rFonts w:eastAsia="Times New Roman"/>
        </w:rPr>
        <w:t>Liquidity</w:t>
      </w:r>
      <w:r w:rsidR="003D2786">
        <w:rPr>
          <w:rFonts w:eastAsia="Times New Roman"/>
        </w:rPr>
        <w:t>, however, is</w:t>
      </w:r>
      <w:r w:rsidR="00702EB6" w:rsidRPr="0067726F">
        <w:rPr>
          <w:rFonts w:eastAsia="Times New Roman"/>
        </w:rPr>
        <w:t xml:space="preserve"> </w:t>
      </w:r>
      <w:r w:rsidRPr="0067726F">
        <w:rPr>
          <w:rFonts w:eastAsia="Times New Roman"/>
        </w:rPr>
        <w:t>still tight</w:t>
      </w:r>
      <w:r w:rsidR="003D2786">
        <w:rPr>
          <w:rFonts w:eastAsia="Times New Roman"/>
        </w:rPr>
        <w:t xml:space="preserve"> and DAB has only a very limited</w:t>
      </w:r>
      <w:r w:rsidRPr="0067726F">
        <w:rPr>
          <w:rFonts w:eastAsia="Times New Roman"/>
        </w:rPr>
        <w:t xml:space="preserve"> </w:t>
      </w:r>
      <w:r w:rsidR="003D2786">
        <w:rPr>
          <w:rFonts w:eastAsia="Times New Roman"/>
        </w:rPr>
        <w:t xml:space="preserve">access to </w:t>
      </w:r>
      <w:r w:rsidR="00546522">
        <w:rPr>
          <w:rFonts w:eastAsia="Times New Roman"/>
        </w:rPr>
        <w:t>USD notes</w:t>
      </w:r>
      <w:r w:rsidR="003D2786">
        <w:rPr>
          <w:rFonts w:eastAsia="Times New Roman"/>
        </w:rPr>
        <w:t>.</w:t>
      </w:r>
      <w:r w:rsidR="00AA72F3" w:rsidRPr="0067726F">
        <w:rPr>
          <w:rFonts w:ascii="Calibri" w:hAnsi="Calibri" w:cs="Calibri"/>
        </w:rPr>
        <w:t xml:space="preserve"> </w:t>
      </w:r>
      <w:r w:rsidR="00AA72F3" w:rsidRPr="003D2786">
        <w:rPr>
          <w:rFonts w:ascii="Calibri" w:hAnsi="Calibri" w:cs="Calibri"/>
        </w:rPr>
        <w:t>The support being provided is not enough to meet demand.</w:t>
      </w:r>
      <w:r w:rsidR="005F77E3">
        <w:rPr>
          <w:rFonts w:ascii="Calibri" w:hAnsi="Calibri" w:cs="Calibri"/>
        </w:rPr>
        <w:t xml:space="preserve"> </w:t>
      </w:r>
      <w:r w:rsidR="00EB4398">
        <w:rPr>
          <w:rFonts w:ascii="Calibri" w:hAnsi="Calibri" w:cs="Calibri"/>
        </w:rPr>
        <w:t xml:space="preserve">  As a result, the formal FX markets are still not </w:t>
      </w:r>
      <w:proofErr w:type="gramStart"/>
      <w:r w:rsidR="00EB4398">
        <w:rPr>
          <w:rFonts w:ascii="Calibri" w:hAnsi="Calibri" w:cs="Calibri"/>
        </w:rPr>
        <w:t>open</w:t>
      </w:r>
      <w:proofErr w:type="gramEnd"/>
      <w:r w:rsidR="005E6799">
        <w:rPr>
          <w:rFonts w:ascii="Calibri" w:hAnsi="Calibri" w:cs="Calibri"/>
        </w:rPr>
        <w:t xml:space="preserve"> but this is not a regulatory issue</w:t>
      </w:r>
      <w:r w:rsidR="00EB4398">
        <w:rPr>
          <w:rFonts w:ascii="Calibri" w:hAnsi="Calibri" w:cs="Calibri"/>
        </w:rPr>
        <w:t xml:space="preserve">.  AIB cannot take open positions </w:t>
      </w:r>
      <w:r w:rsidR="007C307C">
        <w:rPr>
          <w:rFonts w:ascii="Calibri" w:hAnsi="Calibri" w:cs="Calibri"/>
        </w:rPr>
        <w:t>due to the volatility and</w:t>
      </w:r>
      <w:r w:rsidR="00E6489F">
        <w:rPr>
          <w:rFonts w:ascii="Calibri" w:hAnsi="Calibri" w:cs="Calibri"/>
        </w:rPr>
        <w:t>,</w:t>
      </w:r>
      <w:r w:rsidR="007C307C">
        <w:rPr>
          <w:rFonts w:ascii="Calibri" w:hAnsi="Calibri" w:cs="Calibri"/>
        </w:rPr>
        <w:t xml:space="preserve"> until demand for USD picks up (</w:t>
      </w:r>
      <w:r w:rsidR="00007AC7">
        <w:rPr>
          <w:rFonts w:ascii="Calibri" w:hAnsi="Calibri" w:cs="Calibri"/>
        </w:rPr>
        <w:t>which requires liquidity in USD notes)</w:t>
      </w:r>
      <w:r w:rsidR="00E6489F">
        <w:rPr>
          <w:rFonts w:ascii="Calibri" w:hAnsi="Calibri" w:cs="Calibri"/>
        </w:rPr>
        <w:t>,</w:t>
      </w:r>
      <w:r w:rsidR="00007AC7">
        <w:rPr>
          <w:rFonts w:ascii="Calibri" w:hAnsi="Calibri" w:cs="Calibri"/>
        </w:rPr>
        <w:t xml:space="preserve"> then the market will be very restricted.</w:t>
      </w:r>
      <w:r w:rsidR="00E6489F">
        <w:rPr>
          <w:rFonts w:ascii="Calibri" w:hAnsi="Calibri" w:cs="Calibri"/>
        </w:rPr>
        <w:t xml:space="preserve"> </w:t>
      </w:r>
      <w:r w:rsidR="00497A34">
        <w:rPr>
          <w:rFonts w:ascii="Calibri" w:hAnsi="Calibri" w:cs="Calibri"/>
        </w:rPr>
        <w:t xml:space="preserve">AIB have been able to transact </w:t>
      </w:r>
      <w:r w:rsidR="007116A7">
        <w:rPr>
          <w:rFonts w:ascii="Calibri" w:hAnsi="Calibri" w:cs="Calibri"/>
        </w:rPr>
        <w:t xml:space="preserve">USD </w:t>
      </w:r>
      <w:r w:rsidR="00497A34">
        <w:rPr>
          <w:rFonts w:ascii="Calibri" w:hAnsi="Calibri" w:cs="Calibri"/>
        </w:rPr>
        <w:t>0.5 million</w:t>
      </w:r>
      <w:r w:rsidR="007116A7">
        <w:rPr>
          <w:rFonts w:ascii="Calibri" w:hAnsi="Calibri" w:cs="Calibri"/>
        </w:rPr>
        <w:t xml:space="preserve"> today but demand is </w:t>
      </w:r>
      <w:proofErr w:type="gramStart"/>
      <w:r w:rsidR="007116A7">
        <w:rPr>
          <w:rFonts w:ascii="Calibri" w:hAnsi="Calibri" w:cs="Calibri"/>
        </w:rPr>
        <w:t>slow</w:t>
      </w:r>
      <w:proofErr w:type="gramEnd"/>
      <w:r w:rsidR="007116A7">
        <w:rPr>
          <w:rFonts w:ascii="Calibri" w:hAnsi="Calibri" w:cs="Calibri"/>
        </w:rPr>
        <w:t xml:space="preserve"> and they are certainly encouraging smaller trades</w:t>
      </w:r>
      <w:r w:rsidR="00BD31C5">
        <w:rPr>
          <w:rFonts w:ascii="Calibri" w:hAnsi="Calibri" w:cs="Calibri"/>
        </w:rPr>
        <w:t xml:space="preserve"> (if any are to get done).</w:t>
      </w:r>
      <w:r w:rsidR="00EE594F">
        <w:rPr>
          <w:rFonts w:ascii="Calibri" w:hAnsi="Calibri" w:cs="Calibri"/>
        </w:rPr>
        <w:t xml:space="preserve"> </w:t>
      </w:r>
    </w:p>
    <w:p w14:paraId="575ADE4F" w14:textId="38C4606A" w:rsidR="008E120C" w:rsidRPr="00736938" w:rsidRDefault="008E120C" w:rsidP="00736938">
      <w:pPr>
        <w:jc w:val="both"/>
        <w:rPr>
          <w:rFonts w:eastAsia="Times New Roman"/>
        </w:rPr>
      </w:pPr>
    </w:p>
    <w:p w14:paraId="1208B212" w14:textId="2A5AE2FA" w:rsidR="00E03574" w:rsidRDefault="00E03574" w:rsidP="00464865">
      <w:pPr>
        <w:jc w:val="both"/>
        <w:rPr>
          <w:b/>
          <w:bCs/>
        </w:rPr>
      </w:pPr>
      <w:r w:rsidRPr="00E03574">
        <w:rPr>
          <w:b/>
          <w:bCs/>
        </w:rPr>
        <w:t>OFAC update</w:t>
      </w:r>
    </w:p>
    <w:p w14:paraId="05E0E863" w14:textId="77777777" w:rsidR="00E03574" w:rsidRPr="00E03574" w:rsidRDefault="00E03574" w:rsidP="00464865">
      <w:pPr>
        <w:jc w:val="both"/>
        <w:rPr>
          <w:b/>
          <w:bCs/>
        </w:rPr>
      </w:pPr>
    </w:p>
    <w:p w14:paraId="12346DC5" w14:textId="3F676D13" w:rsidR="00B35D76" w:rsidRPr="00B35D76" w:rsidRDefault="00ED3FB9" w:rsidP="00464865">
      <w:pPr>
        <w:jc w:val="both"/>
      </w:pPr>
      <w:r>
        <w:t xml:space="preserve">A reminder of what </w:t>
      </w:r>
      <w:r w:rsidR="008A3607">
        <w:t>OFAC issued on 24</w:t>
      </w:r>
      <w:r w:rsidR="008A3607" w:rsidRPr="008A3607">
        <w:rPr>
          <w:vertAlign w:val="superscript"/>
        </w:rPr>
        <w:t>th</w:t>
      </w:r>
      <w:r w:rsidR="008A3607">
        <w:t xml:space="preserve"> September: </w:t>
      </w:r>
      <w:r w:rsidR="00B35D76" w:rsidRPr="00B35D76">
        <w:t xml:space="preserve"> U.S Treasury confirm</w:t>
      </w:r>
      <w:r w:rsidR="008A3607">
        <w:t>ed</w:t>
      </w:r>
      <w:r w:rsidR="00B35D76" w:rsidRPr="00B35D76">
        <w:t xml:space="preserve"> the issuance of 2 General licences (GL14 &amp; GL15) </w:t>
      </w:r>
      <w:proofErr w:type="gramStart"/>
      <w:r w:rsidR="00B35D76" w:rsidRPr="00B35D76">
        <w:t>in order to</w:t>
      </w:r>
      <w:proofErr w:type="gramEnd"/>
      <w:r w:rsidR="00B35D76" w:rsidRPr="00B35D76">
        <w:t xml:space="preserve"> facilitate Humanitarian assistance in Afghanistan. </w:t>
      </w:r>
    </w:p>
    <w:p w14:paraId="24679D09" w14:textId="77777777" w:rsidR="00B35D76" w:rsidRPr="00B35D76" w:rsidRDefault="00B35D76" w:rsidP="00464865">
      <w:pPr>
        <w:jc w:val="both"/>
      </w:pPr>
    </w:p>
    <w:p w14:paraId="36002F4C" w14:textId="77777777" w:rsidR="00B35D76" w:rsidRPr="00C83F3C" w:rsidRDefault="00B35D76" w:rsidP="0067318A">
      <w:pPr>
        <w:rPr>
          <w:b/>
          <w:bCs/>
        </w:rPr>
      </w:pPr>
      <w:r w:rsidRPr="00C83F3C">
        <w:rPr>
          <w:b/>
          <w:bCs/>
        </w:rPr>
        <w:t>General Licences</w:t>
      </w:r>
    </w:p>
    <w:p w14:paraId="402345F5" w14:textId="77777777" w:rsidR="00B35D76" w:rsidRPr="00B35D76" w:rsidRDefault="00380829" w:rsidP="0067318A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Calibri"/>
        </w:rPr>
      </w:pPr>
      <w:hyperlink r:id="rId5" w:history="1">
        <w:r w:rsidR="00B35D76" w:rsidRPr="00B35D76">
          <w:rPr>
            <w:rStyle w:val="Hyperlink"/>
            <w:rFonts w:ascii="Calibri" w:hAnsi="Calibri" w:cs="Calibri"/>
          </w:rPr>
          <w:t>https://home.treasury.gov/system/files/126/ct_gl14.pdf</w:t>
        </w:r>
      </w:hyperlink>
    </w:p>
    <w:p w14:paraId="243FAF8F" w14:textId="77777777" w:rsidR="00B35D76" w:rsidRPr="00B35D76" w:rsidRDefault="00380829" w:rsidP="0067318A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Calibri"/>
        </w:rPr>
      </w:pPr>
      <w:hyperlink r:id="rId6" w:history="1">
        <w:r w:rsidR="00B35D76" w:rsidRPr="00B35D76">
          <w:rPr>
            <w:rStyle w:val="Hyperlink"/>
            <w:rFonts w:ascii="Calibri" w:hAnsi="Calibri" w:cs="Calibri"/>
          </w:rPr>
          <w:t>https://home.treasury.gov/system/files/126/ct_gl15.pdf</w:t>
        </w:r>
      </w:hyperlink>
    </w:p>
    <w:p w14:paraId="3A3EB57A" w14:textId="77777777" w:rsidR="00B35D76" w:rsidRPr="00B35D76" w:rsidRDefault="00B35D76" w:rsidP="0067318A">
      <w:pPr>
        <w:pStyle w:val="ListParagraph"/>
        <w:ind w:left="360"/>
        <w:rPr>
          <w:rFonts w:ascii="Calibri" w:hAnsi="Calibri" w:cs="Calibri"/>
        </w:rPr>
      </w:pPr>
    </w:p>
    <w:p w14:paraId="12C4C976" w14:textId="77777777" w:rsidR="00B35D76" w:rsidRPr="00C83F3C" w:rsidRDefault="00B35D76" w:rsidP="0067318A">
      <w:pPr>
        <w:rPr>
          <w:b/>
          <w:bCs/>
        </w:rPr>
      </w:pPr>
      <w:r w:rsidRPr="00C83F3C">
        <w:rPr>
          <w:b/>
          <w:bCs/>
        </w:rPr>
        <w:t>FAQs</w:t>
      </w:r>
    </w:p>
    <w:p w14:paraId="227179ED" w14:textId="77777777" w:rsidR="00B35D76" w:rsidRPr="00B35D76" w:rsidRDefault="00380829" w:rsidP="0067318A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Calibri"/>
        </w:rPr>
      </w:pPr>
      <w:hyperlink r:id="rId7" w:history="1">
        <w:r w:rsidR="00B35D76" w:rsidRPr="00B35D76">
          <w:rPr>
            <w:rStyle w:val="Hyperlink"/>
            <w:rFonts w:ascii="Calibri" w:hAnsi="Calibri" w:cs="Calibri"/>
          </w:rPr>
          <w:t>https://home.treasury.gov/policy-issues/financial-sanctions/faqs/928</w:t>
        </w:r>
      </w:hyperlink>
    </w:p>
    <w:p w14:paraId="765F4C91" w14:textId="77777777" w:rsidR="00B35D76" w:rsidRPr="00B35D76" w:rsidRDefault="00380829" w:rsidP="0067318A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Calibri"/>
        </w:rPr>
      </w:pPr>
      <w:hyperlink r:id="rId8" w:history="1">
        <w:r w:rsidR="00B35D76" w:rsidRPr="00B35D76">
          <w:rPr>
            <w:rStyle w:val="Hyperlink"/>
            <w:rFonts w:ascii="Calibri" w:hAnsi="Calibri" w:cs="Calibri"/>
          </w:rPr>
          <w:t>https://home.treasury.gov/policy-issues/financial-sanctions/faqs/929</w:t>
        </w:r>
      </w:hyperlink>
    </w:p>
    <w:p w14:paraId="41093DDA" w14:textId="77777777" w:rsidR="00B35D76" w:rsidRPr="00B35D76" w:rsidRDefault="00380829" w:rsidP="0067318A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Calibri"/>
        </w:rPr>
      </w:pPr>
      <w:hyperlink r:id="rId9" w:history="1">
        <w:r w:rsidR="00B35D76" w:rsidRPr="00B35D76">
          <w:rPr>
            <w:rStyle w:val="Hyperlink"/>
            <w:rFonts w:ascii="Calibri" w:hAnsi="Calibri" w:cs="Calibri"/>
          </w:rPr>
          <w:t>https://home.treasury.gov/policy-issues/financial-sanctions/faqs/930</w:t>
        </w:r>
      </w:hyperlink>
    </w:p>
    <w:p w14:paraId="1A96B2AF" w14:textId="77777777" w:rsidR="00B35D76" w:rsidRPr="00B35D76" w:rsidRDefault="00380829" w:rsidP="0067318A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Calibri"/>
        </w:rPr>
      </w:pPr>
      <w:hyperlink r:id="rId10" w:history="1">
        <w:r w:rsidR="00B35D76" w:rsidRPr="00B35D76">
          <w:rPr>
            <w:rStyle w:val="Hyperlink"/>
            <w:rFonts w:ascii="Calibri" w:hAnsi="Calibri" w:cs="Calibri"/>
          </w:rPr>
          <w:t>https://home.treasury.gov/policy-issues/financial-sanctions/faqs/931</w:t>
        </w:r>
      </w:hyperlink>
    </w:p>
    <w:p w14:paraId="225198ED" w14:textId="77777777" w:rsidR="00B35D76" w:rsidRPr="00B35D76" w:rsidRDefault="00B35D76" w:rsidP="0067318A">
      <w:pPr>
        <w:pStyle w:val="ListParagraph"/>
        <w:ind w:left="360"/>
        <w:rPr>
          <w:rFonts w:ascii="Calibri" w:hAnsi="Calibri" w:cs="Calibri"/>
        </w:rPr>
      </w:pPr>
    </w:p>
    <w:p w14:paraId="00CF9724" w14:textId="77777777" w:rsidR="0057572D" w:rsidRDefault="0057572D" w:rsidP="0057572D">
      <w:pPr>
        <w:ind w:left="1440"/>
        <w:rPr>
          <w:rFonts w:ascii="Calibri" w:hAnsi="Calibri" w:cs="Calibri"/>
          <w:color w:val="44546A"/>
        </w:rPr>
      </w:pPr>
    </w:p>
    <w:p w14:paraId="36E5E638" w14:textId="77777777" w:rsidR="0057572D" w:rsidRDefault="0057572D" w:rsidP="0057572D">
      <w:pPr>
        <w:pStyle w:val="xmsonormal"/>
        <w:jc w:val="both"/>
      </w:pPr>
      <w:proofErr w:type="gramStart"/>
      <w:r>
        <w:rPr>
          <w:i/>
          <w:iCs/>
          <w:color w:val="4472C4"/>
        </w:rPr>
        <w:t>Note :</w:t>
      </w:r>
      <w:proofErr w:type="gramEnd"/>
      <w:r>
        <w:rPr>
          <w:i/>
          <w:iCs/>
          <w:color w:val="4472C4"/>
        </w:rPr>
        <w:t xml:space="preserve"> - As previously mentioned, this is the latest of a series of informal updates based on our best interpretations of what we are being told at the time by trusted local professionals but, in a fast changing environment, we cannot be fully certain on the accuracy of any these statements. </w:t>
      </w:r>
    </w:p>
    <w:p w14:paraId="39B3114A" w14:textId="77777777" w:rsidR="00727F56" w:rsidRDefault="00727F56" w:rsidP="0067318A"/>
    <w:sectPr w:rsidR="00727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350C6"/>
    <w:multiLevelType w:val="multilevel"/>
    <w:tmpl w:val="2950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4E63B9"/>
    <w:multiLevelType w:val="hybridMultilevel"/>
    <w:tmpl w:val="FDB82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11D53"/>
    <w:multiLevelType w:val="hybridMultilevel"/>
    <w:tmpl w:val="7AE89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56"/>
    <w:rsid w:val="00007AC7"/>
    <w:rsid w:val="00053885"/>
    <w:rsid w:val="00086CB8"/>
    <w:rsid w:val="00145533"/>
    <w:rsid w:val="00156CB0"/>
    <w:rsid w:val="00195B4C"/>
    <w:rsid w:val="001C202C"/>
    <w:rsid w:val="001D0004"/>
    <w:rsid w:val="001D5AAD"/>
    <w:rsid w:val="002205D2"/>
    <w:rsid w:val="00243B18"/>
    <w:rsid w:val="00341AAC"/>
    <w:rsid w:val="00364BF6"/>
    <w:rsid w:val="00380829"/>
    <w:rsid w:val="00390347"/>
    <w:rsid w:val="003D2786"/>
    <w:rsid w:val="00406EFE"/>
    <w:rsid w:val="00434C11"/>
    <w:rsid w:val="00457EE6"/>
    <w:rsid w:val="00464865"/>
    <w:rsid w:val="004672B7"/>
    <w:rsid w:val="00497A34"/>
    <w:rsid w:val="004B75B4"/>
    <w:rsid w:val="004D045B"/>
    <w:rsid w:val="004E4C3E"/>
    <w:rsid w:val="0051769F"/>
    <w:rsid w:val="00546522"/>
    <w:rsid w:val="00570629"/>
    <w:rsid w:val="0057572D"/>
    <w:rsid w:val="005831FD"/>
    <w:rsid w:val="005A1257"/>
    <w:rsid w:val="005D11E8"/>
    <w:rsid w:val="005E6799"/>
    <w:rsid w:val="005F0043"/>
    <w:rsid w:val="005F77E3"/>
    <w:rsid w:val="00660383"/>
    <w:rsid w:val="0067318A"/>
    <w:rsid w:val="0067726F"/>
    <w:rsid w:val="006A76C2"/>
    <w:rsid w:val="006B0680"/>
    <w:rsid w:val="006C29BA"/>
    <w:rsid w:val="00702EB6"/>
    <w:rsid w:val="007116A7"/>
    <w:rsid w:val="00727F56"/>
    <w:rsid w:val="00736938"/>
    <w:rsid w:val="00743BD4"/>
    <w:rsid w:val="007C212E"/>
    <w:rsid w:val="007C307C"/>
    <w:rsid w:val="00826E05"/>
    <w:rsid w:val="00835122"/>
    <w:rsid w:val="008A3607"/>
    <w:rsid w:val="008E120C"/>
    <w:rsid w:val="009B48D6"/>
    <w:rsid w:val="00A1537B"/>
    <w:rsid w:val="00A532F5"/>
    <w:rsid w:val="00AA72F3"/>
    <w:rsid w:val="00AE3AD6"/>
    <w:rsid w:val="00B3479C"/>
    <w:rsid w:val="00B35D76"/>
    <w:rsid w:val="00B9044B"/>
    <w:rsid w:val="00BD31C5"/>
    <w:rsid w:val="00BD640A"/>
    <w:rsid w:val="00BE7403"/>
    <w:rsid w:val="00C60FC5"/>
    <w:rsid w:val="00C83F3C"/>
    <w:rsid w:val="00CE1043"/>
    <w:rsid w:val="00CF78FF"/>
    <w:rsid w:val="00D864EC"/>
    <w:rsid w:val="00DB2FBD"/>
    <w:rsid w:val="00DC787D"/>
    <w:rsid w:val="00DD187D"/>
    <w:rsid w:val="00E03574"/>
    <w:rsid w:val="00E05546"/>
    <w:rsid w:val="00E6489F"/>
    <w:rsid w:val="00EB4398"/>
    <w:rsid w:val="00ED3FB9"/>
    <w:rsid w:val="00EE594F"/>
    <w:rsid w:val="00F30739"/>
    <w:rsid w:val="00F36BE1"/>
    <w:rsid w:val="00F56581"/>
    <w:rsid w:val="00F97C2B"/>
    <w:rsid w:val="00FA54B5"/>
    <w:rsid w:val="00FB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3F2A9"/>
  <w15:chartTrackingRefBased/>
  <w15:docId w15:val="{38CE8743-C01D-40AA-8A62-271E5AC2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D76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7F56"/>
    <w:rPr>
      <w:color w:val="0000FF"/>
      <w:u w:val="single"/>
    </w:rPr>
  </w:style>
  <w:style w:type="paragraph" w:customStyle="1" w:styleId="m-4379606945418949410msolistparagraph">
    <w:name w:val="m_-4379606945418949410msolistparagraph"/>
    <w:basedOn w:val="Normal"/>
    <w:rsid w:val="00727F5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27F56"/>
    <w:pPr>
      <w:ind w:left="720"/>
    </w:pPr>
    <w:rPr>
      <w:lang w:eastAsia="en-US"/>
    </w:rPr>
  </w:style>
  <w:style w:type="paragraph" w:customStyle="1" w:styleId="xmsonormal">
    <w:name w:val="x_msonormal"/>
    <w:basedOn w:val="Normal"/>
    <w:uiPriority w:val="99"/>
    <w:rsid w:val="0057572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treasury.gov/policy-issues/financial-sanctions/faqs/9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me.treasury.gov/policy-issues/financial-sanctions/faqs/9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.treasury.gov/system/files/126/ct_gl15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ome.treasury.gov/system/files/126/ct_gl14.pdf" TargetMode="External"/><Relationship Id="rId10" Type="http://schemas.openxmlformats.org/officeDocument/2006/relationships/hyperlink" Target="https://home.treasury.gov/policy-issues/financial-sanctions/faqs/9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me.treasury.gov/policy-issues/financial-sanctions/faqs/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Pitts</dc:creator>
  <cp:keywords/>
  <dc:description/>
  <cp:lastModifiedBy>Tait, Mark</cp:lastModifiedBy>
  <cp:revision>2</cp:revision>
  <dcterms:created xsi:type="dcterms:W3CDTF">2021-10-12T11:45:00Z</dcterms:created>
  <dcterms:modified xsi:type="dcterms:W3CDTF">2021-10-12T11:45:00Z</dcterms:modified>
</cp:coreProperties>
</file>